
<file path=[Content_Types].xml><?xml version="1.0" encoding="utf-8"?>
<Types xmlns="http://schemas.openxmlformats.org/package/2006/content-types">
  <Default Extension="xml" ContentType="application/xml"/>
  <Default Extension="wdp" ContentType="image/vnd.ms-photo"/>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8"/>
          <w:szCs w:val="28"/>
          <w:lang w:eastAsia="zh-CN"/>
        </w:rPr>
      </w:pPr>
      <w:r>
        <w:rPr>
          <w:rFonts w:hint="eastAsia"/>
          <w:b/>
          <w:bCs/>
          <w:sz w:val="28"/>
          <w:szCs w:val="28"/>
          <w:lang w:eastAsia="zh-CN"/>
        </w:rPr>
        <w:t>福</w:t>
      </w:r>
      <w:r>
        <w:rPr>
          <w:rFonts w:hint="eastAsia"/>
          <w:b/>
          <w:bCs/>
          <w:sz w:val="28"/>
          <w:szCs w:val="28"/>
          <w:lang w:val="en-US" w:eastAsia="zh-CN"/>
        </w:rPr>
        <w:t xml:space="preserve"> </w:t>
      </w:r>
      <w:r>
        <w:rPr>
          <w:rFonts w:hint="eastAsia"/>
          <w:b/>
          <w:bCs/>
          <w:sz w:val="28"/>
          <w:szCs w:val="28"/>
          <w:lang w:eastAsia="zh-CN"/>
        </w:rPr>
        <w:t>建</w:t>
      </w:r>
      <w:r>
        <w:rPr>
          <w:rFonts w:hint="eastAsia"/>
          <w:b/>
          <w:bCs/>
          <w:sz w:val="28"/>
          <w:szCs w:val="28"/>
          <w:lang w:val="en-US" w:eastAsia="zh-CN"/>
        </w:rPr>
        <w:t xml:space="preserve"> </w:t>
      </w:r>
      <w:r>
        <w:rPr>
          <w:rFonts w:hint="eastAsia"/>
          <w:b/>
          <w:bCs/>
          <w:sz w:val="28"/>
          <w:szCs w:val="28"/>
          <w:lang w:eastAsia="zh-CN"/>
        </w:rPr>
        <w:t>海</w:t>
      </w:r>
      <w:r>
        <w:rPr>
          <w:rFonts w:hint="eastAsia"/>
          <w:b/>
          <w:bCs/>
          <w:sz w:val="28"/>
          <w:szCs w:val="28"/>
          <w:lang w:val="en-US" w:eastAsia="zh-CN"/>
        </w:rPr>
        <w:t xml:space="preserve"> </w:t>
      </w:r>
      <w:r>
        <w:rPr>
          <w:rFonts w:hint="eastAsia"/>
          <w:b/>
          <w:bCs/>
          <w:sz w:val="28"/>
          <w:szCs w:val="28"/>
          <w:lang w:eastAsia="zh-CN"/>
        </w:rPr>
        <w:t>山</w:t>
      </w:r>
      <w:r>
        <w:rPr>
          <w:rFonts w:hint="eastAsia"/>
          <w:b/>
          <w:bCs/>
          <w:sz w:val="28"/>
          <w:szCs w:val="28"/>
          <w:lang w:val="en-US" w:eastAsia="zh-CN"/>
        </w:rPr>
        <w:t xml:space="preserve"> </w:t>
      </w:r>
      <w:r>
        <w:rPr>
          <w:rFonts w:hint="eastAsia"/>
          <w:b/>
          <w:bCs/>
          <w:sz w:val="28"/>
          <w:szCs w:val="28"/>
          <w:lang w:eastAsia="zh-CN"/>
        </w:rPr>
        <w:t>机</w:t>
      </w:r>
      <w:r>
        <w:rPr>
          <w:rFonts w:hint="eastAsia"/>
          <w:b/>
          <w:bCs/>
          <w:sz w:val="28"/>
          <w:szCs w:val="28"/>
          <w:lang w:val="en-US" w:eastAsia="zh-CN"/>
        </w:rPr>
        <w:t xml:space="preserve"> </w:t>
      </w:r>
      <w:r>
        <w:rPr>
          <w:rFonts w:hint="eastAsia"/>
          <w:b/>
          <w:bCs/>
          <w:sz w:val="28"/>
          <w:szCs w:val="28"/>
          <w:lang w:eastAsia="zh-CN"/>
        </w:rPr>
        <w:t>械</w:t>
      </w:r>
      <w:r>
        <w:rPr>
          <w:rFonts w:hint="eastAsia"/>
          <w:b/>
          <w:bCs/>
          <w:sz w:val="28"/>
          <w:szCs w:val="28"/>
          <w:lang w:val="en-US" w:eastAsia="zh-CN"/>
        </w:rPr>
        <w:t xml:space="preserve"> </w:t>
      </w:r>
      <w:r>
        <w:rPr>
          <w:rFonts w:hint="eastAsia"/>
          <w:b/>
          <w:bCs/>
          <w:sz w:val="28"/>
          <w:szCs w:val="28"/>
          <w:lang w:eastAsia="zh-CN"/>
        </w:rPr>
        <w:t>股</w:t>
      </w:r>
      <w:r>
        <w:rPr>
          <w:rFonts w:hint="eastAsia"/>
          <w:b/>
          <w:bCs/>
          <w:sz w:val="28"/>
          <w:szCs w:val="28"/>
          <w:lang w:val="en-US" w:eastAsia="zh-CN"/>
        </w:rPr>
        <w:t xml:space="preserve"> </w:t>
      </w:r>
      <w:r>
        <w:rPr>
          <w:rFonts w:hint="eastAsia"/>
          <w:b/>
          <w:bCs/>
          <w:sz w:val="28"/>
          <w:szCs w:val="28"/>
          <w:lang w:eastAsia="zh-CN"/>
        </w:rPr>
        <w:t>份</w:t>
      </w:r>
      <w:r>
        <w:rPr>
          <w:rFonts w:hint="eastAsia"/>
          <w:b/>
          <w:bCs/>
          <w:sz w:val="28"/>
          <w:szCs w:val="28"/>
          <w:lang w:val="en-US" w:eastAsia="zh-CN"/>
        </w:rPr>
        <w:t xml:space="preserve"> </w:t>
      </w:r>
      <w:r>
        <w:rPr>
          <w:rFonts w:hint="eastAsia"/>
          <w:b/>
          <w:bCs/>
          <w:sz w:val="28"/>
          <w:szCs w:val="28"/>
          <w:lang w:eastAsia="zh-CN"/>
        </w:rPr>
        <w:t>有</w:t>
      </w:r>
      <w:r>
        <w:rPr>
          <w:rFonts w:hint="eastAsia"/>
          <w:b/>
          <w:bCs/>
          <w:sz w:val="28"/>
          <w:szCs w:val="28"/>
          <w:lang w:val="en-US" w:eastAsia="zh-CN"/>
        </w:rPr>
        <w:t xml:space="preserve"> </w:t>
      </w:r>
      <w:r>
        <w:rPr>
          <w:rFonts w:hint="eastAsia"/>
          <w:b/>
          <w:bCs/>
          <w:sz w:val="28"/>
          <w:szCs w:val="28"/>
          <w:lang w:eastAsia="zh-CN"/>
        </w:rPr>
        <w:t>限</w:t>
      </w:r>
      <w:r>
        <w:rPr>
          <w:rFonts w:hint="eastAsia"/>
          <w:b/>
          <w:bCs/>
          <w:sz w:val="28"/>
          <w:szCs w:val="28"/>
          <w:lang w:val="en-US" w:eastAsia="zh-CN"/>
        </w:rPr>
        <w:t xml:space="preserve"> </w:t>
      </w:r>
      <w:r>
        <w:rPr>
          <w:rFonts w:hint="eastAsia"/>
          <w:b/>
          <w:bCs/>
          <w:sz w:val="28"/>
          <w:szCs w:val="28"/>
          <w:lang w:eastAsia="zh-CN"/>
        </w:rPr>
        <w:t>公</w:t>
      </w:r>
      <w:r>
        <w:rPr>
          <w:rFonts w:hint="eastAsia"/>
          <w:b/>
          <w:bCs/>
          <w:sz w:val="28"/>
          <w:szCs w:val="28"/>
          <w:lang w:val="en-US" w:eastAsia="zh-CN"/>
        </w:rPr>
        <w:t xml:space="preserve"> </w:t>
      </w:r>
      <w:r>
        <w:rPr>
          <w:rFonts w:hint="eastAsia"/>
          <w:b/>
          <w:bCs/>
          <w:sz w:val="28"/>
          <w:szCs w:val="28"/>
          <w:lang w:eastAsia="zh-CN"/>
        </w:rPr>
        <w:t>司</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bCs/>
          <w:sz w:val="24"/>
          <w:szCs w:val="24"/>
          <w:lang w:val="en-US" w:eastAsia="zh-CN"/>
        </w:rPr>
      </w:pPr>
      <w:r>
        <w:rPr>
          <w:rFonts w:hint="eastAsia"/>
          <w:b/>
          <w:bCs/>
          <w:sz w:val="24"/>
          <w:szCs w:val="24"/>
          <w:lang w:val="en-US" w:eastAsia="zh-CN"/>
        </w:rPr>
        <w:t>2017-2018年“创新智造”专场招聘会</w:t>
      </w:r>
    </w:p>
    <w:p>
      <w:pPr>
        <w:keepNext w:val="0"/>
        <w:keepLines w:val="0"/>
        <w:pageBreakBefore w:val="0"/>
        <w:widowControl w:val="0"/>
        <w:kinsoku/>
        <w:wordWrap/>
        <w:overflowPunct/>
        <w:topLinePunct w:val="0"/>
        <w:autoSpaceDE/>
        <w:autoSpaceDN/>
        <w:bidi w:val="0"/>
        <w:adjustRightInd/>
        <w:snapToGrid/>
        <w:spacing w:line="24" w:lineRule="atLeast"/>
        <w:ind w:right="0" w:rightChars="0"/>
        <w:jc w:val="center"/>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 w:lineRule="atLeast"/>
        <w:ind w:left="0" w:leftChars="0" w:right="0" w:rightChars="0" w:firstLine="480" w:firstLineChars="200"/>
        <w:jc w:val="both"/>
        <w:textAlignment w:val="auto"/>
        <w:outlineLvl w:val="9"/>
        <w:rPr>
          <w:rFonts w:hint="eastAsia"/>
          <w:sz w:val="24"/>
          <w:szCs w:val="24"/>
        </w:rPr>
      </w:pPr>
      <w:r>
        <w:rPr>
          <w:rFonts w:hint="eastAsia"/>
          <w:sz w:val="24"/>
          <w:szCs w:val="24"/>
        </w:rPr>
        <w:t>福建海山机械股份有限公司是一家专注于传统环保机械产业升级换代的创新型企业，公司成立于2014年，创业团队全部来自国内知名上市企业。公司总投资3亿元，总部设于莆田市荔城经济技术开发工业园区。现有员工两百余人，</w:t>
      </w:r>
      <w:r>
        <w:rPr>
          <w:rFonts w:hint="eastAsia"/>
          <w:sz w:val="24"/>
          <w:szCs w:val="24"/>
          <w:lang w:eastAsia="zh-CN"/>
        </w:rPr>
        <w:t>其中</w:t>
      </w:r>
      <w:r>
        <w:rPr>
          <w:rFonts w:hint="eastAsia"/>
          <w:sz w:val="24"/>
          <w:szCs w:val="24"/>
        </w:rPr>
        <w:t>研发工程师8</w:t>
      </w:r>
      <w:r>
        <w:rPr>
          <w:rFonts w:hint="eastAsia"/>
          <w:sz w:val="24"/>
          <w:szCs w:val="24"/>
          <w:lang w:val="en-US" w:eastAsia="zh-CN"/>
        </w:rPr>
        <w:t>0余</w:t>
      </w:r>
      <w:r>
        <w:rPr>
          <w:rFonts w:hint="eastAsia"/>
          <w:sz w:val="24"/>
          <w:szCs w:val="24"/>
        </w:rPr>
        <w:t>人，</w:t>
      </w:r>
      <w:r>
        <w:rPr>
          <w:rFonts w:hint="eastAsia"/>
          <w:sz w:val="24"/>
          <w:szCs w:val="24"/>
          <w:lang w:eastAsia="zh-CN"/>
        </w:rPr>
        <w:t>公司</w:t>
      </w:r>
      <w:r>
        <w:rPr>
          <w:rFonts w:hint="eastAsia"/>
          <w:sz w:val="24"/>
          <w:szCs w:val="24"/>
        </w:rPr>
        <w:t>大学本科以上占比超过50%，大专以上占比超过95%，是一家年轻的科技创新型企业。现拥有八十余项专利技术</w:t>
      </w:r>
      <w:r>
        <w:rPr>
          <w:rFonts w:hint="eastAsia"/>
          <w:sz w:val="24"/>
          <w:szCs w:val="24"/>
          <w:lang w:eastAsia="zh-CN"/>
        </w:rPr>
        <w:t>。</w:t>
      </w:r>
      <w:r>
        <w:rPr>
          <w:rFonts w:hint="eastAsia"/>
          <w:sz w:val="24"/>
          <w:szCs w:val="24"/>
        </w:rPr>
        <w:t>作为一家</w:t>
      </w:r>
      <w:r>
        <w:rPr>
          <w:rFonts w:hint="eastAsia"/>
          <w:sz w:val="24"/>
          <w:szCs w:val="24"/>
          <w:lang w:eastAsia="zh-CN"/>
        </w:rPr>
        <w:t>成立</w:t>
      </w:r>
      <w:r>
        <w:rPr>
          <w:rFonts w:hint="eastAsia"/>
          <w:sz w:val="24"/>
          <w:szCs w:val="24"/>
        </w:rPr>
        <w:t>不到3年的年轻创业型企业，已实现产品的系列化，并已广销北京、上海、天津等城市，受到用户的一致认可和</w:t>
      </w:r>
      <w:r>
        <w:rPr>
          <w:rFonts w:hint="eastAsia"/>
          <w:sz w:val="24"/>
          <w:szCs w:val="24"/>
          <w:lang w:eastAsia="zh-CN"/>
        </w:rPr>
        <w:t>高度</w:t>
      </w:r>
      <w:r>
        <w:rPr>
          <w:rFonts w:hint="eastAsia"/>
          <w:sz w:val="24"/>
          <w:szCs w:val="24"/>
        </w:rPr>
        <w:t>接受。年销售额近1亿元。</w:t>
      </w:r>
    </w:p>
    <w:p>
      <w:pPr>
        <w:keepNext w:val="0"/>
        <w:keepLines w:val="0"/>
        <w:pageBreakBefore w:val="0"/>
        <w:widowControl w:val="0"/>
        <w:kinsoku/>
        <w:wordWrap/>
        <w:overflowPunct/>
        <w:topLinePunct w:val="0"/>
        <w:autoSpaceDE/>
        <w:autoSpaceDN/>
        <w:bidi w:val="0"/>
        <w:adjustRightInd/>
        <w:snapToGrid/>
        <w:spacing w:line="24" w:lineRule="atLeast"/>
        <w:ind w:left="0" w:leftChars="0" w:right="0" w:rightChars="0"/>
        <w:jc w:val="both"/>
        <w:textAlignment w:val="auto"/>
        <w:outlineLvl w:val="9"/>
        <w:rPr>
          <w:rFonts w:hint="eastAsia" w:eastAsiaTheme="minorEastAsia"/>
          <w:b/>
          <w:bCs/>
          <w:sz w:val="24"/>
          <w:szCs w:val="24"/>
          <w:lang w:eastAsia="zh-CN"/>
        </w:rPr>
      </w:pPr>
      <w:r>
        <w:rPr>
          <w:rFonts w:hint="eastAsia"/>
          <w:b/>
          <w:bCs/>
          <w:sz w:val="24"/>
          <w:szCs w:val="24"/>
          <w:lang w:eastAsia="zh-CN"/>
        </w:rPr>
        <w:t>二、我们的产品：</w:t>
      </w:r>
    </w:p>
    <w:p>
      <w:pPr>
        <w:keepNext w:val="0"/>
        <w:keepLines w:val="0"/>
        <w:pageBreakBefore w:val="0"/>
        <w:widowControl w:val="0"/>
        <w:kinsoku/>
        <w:wordWrap/>
        <w:overflowPunct/>
        <w:topLinePunct w:val="0"/>
        <w:autoSpaceDE/>
        <w:autoSpaceDN/>
        <w:bidi w:val="0"/>
        <w:adjustRightInd/>
        <w:snapToGrid/>
        <w:spacing w:line="24" w:lineRule="atLeast"/>
        <w:ind w:left="0" w:leftChars="0" w:right="0" w:rightChars="0"/>
        <w:jc w:val="both"/>
        <w:textAlignment w:val="auto"/>
        <w:outlineLvl w:val="9"/>
        <w:rPr>
          <w:rFonts w:hint="eastAsia" w:ascii="宋体" w:hAnsi="宋体" w:eastAsia="宋体" w:cs="宋体"/>
          <w:b/>
          <w:bCs/>
          <w:sz w:val="24"/>
          <w:szCs w:val="24"/>
          <w:lang w:eastAsia="zh-CN"/>
        </w:rPr>
      </w:pPr>
      <w:r>
        <w:drawing>
          <wp:inline distT="0" distB="0" distL="114300" distR="114300">
            <wp:extent cx="1910080" cy="1212850"/>
            <wp:effectExtent l="0" t="0" r="13970" b="6350"/>
            <wp:docPr id="10" name="Picture 4" descr="C:\Users\Administrator\Desktop\75753460571881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Administrator\Desktop\757534605718810956.jpg"/>
                    <pic:cNvPicPr>
                      <a:picLocks noChangeAspect="1" noChangeArrowheads="1"/>
                    </pic:cNvPicPr>
                  </pic:nvPicPr>
                  <pic:blipFill>
                    <a:blip r:embed="rId4" cstate="print"/>
                    <a:srcRect/>
                    <a:stretch>
                      <a:fillRect/>
                    </a:stretch>
                  </pic:blipFill>
                  <pic:spPr>
                    <a:xfrm>
                      <a:off x="0" y="0"/>
                      <a:ext cx="1910080" cy="1212850"/>
                    </a:xfrm>
                    <a:prstGeom prst="rect">
                      <a:avLst/>
                    </a:prstGeom>
                    <a:noFill/>
                  </pic:spPr>
                </pic:pic>
              </a:graphicData>
            </a:graphic>
          </wp:inline>
        </w:drawing>
      </w:r>
      <w:r>
        <w:drawing>
          <wp:inline distT="0" distB="0" distL="114300" distR="114300">
            <wp:extent cx="2006600" cy="1291590"/>
            <wp:effectExtent l="0" t="0" r="1270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t="3144" r="5861" b="372"/>
                    <a:stretch>
                      <a:fillRect/>
                    </a:stretch>
                  </pic:blipFill>
                  <pic:spPr>
                    <a:xfrm>
                      <a:off x="0" y="0"/>
                      <a:ext cx="2006600" cy="1291590"/>
                    </a:xfrm>
                    <a:prstGeom prst="rect">
                      <a:avLst/>
                    </a:prstGeom>
                    <a:ln>
                      <a:noFill/>
                    </a:ln>
                    <a:effectLst>
                      <a:softEdge rad="112500"/>
                    </a:effectLst>
                  </pic:spPr>
                </pic:pic>
              </a:graphicData>
            </a:graphic>
          </wp:inline>
        </w:drawing>
      </w:r>
      <w:r>
        <w:drawing>
          <wp:inline distT="0" distB="0" distL="114300" distR="114300">
            <wp:extent cx="1944370" cy="1372235"/>
            <wp:effectExtent l="0" t="0" r="17780" b="184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cstate="print">
                      <a:extLst>
                        <a:ext uri="{28A0092B-C50C-407E-A947-70E740481C1C}">
                          <a14:useLocalDpi xmlns:a14="http://schemas.microsoft.com/office/drawing/2010/main" val="0"/>
                        </a:ext>
                      </a:extLst>
                    </a:blip>
                    <a:srcRect l="2622" t="5923" r="1786"/>
                    <a:stretch>
                      <a:fillRect/>
                    </a:stretch>
                  </pic:blipFill>
                  <pic:spPr>
                    <a:xfrm>
                      <a:off x="0" y="0"/>
                      <a:ext cx="1944370" cy="1372235"/>
                    </a:xfrm>
                    <a:prstGeom prst="rect">
                      <a:avLst/>
                    </a:prstGeom>
                    <a:ln>
                      <a:noFill/>
                    </a:ln>
                    <a:effectLst>
                      <a:softEdge rad="112500"/>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 w:lineRule="atLeast"/>
        <w:ind w:left="0" w:leftChars="0" w:right="0" w:rightChars="0" w:firstLine="0" w:firstLineChars="0"/>
        <w:jc w:val="both"/>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三、我们的优势：</w:t>
      </w:r>
    </w:p>
    <w:p>
      <w:pPr>
        <w:keepNext w:val="0"/>
        <w:keepLines w:val="0"/>
        <w:pageBreakBefore w:val="0"/>
        <w:widowControl w:val="0"/>
        <w:kinsoku/>
        <w:wordWrap/>
        <w:overflowPunct/>
        <w:topLinePunct w:val="0"/>
        <w:autoSpaceDE/>
        <w:autoSpaceDN/>
        <w:bidi w:val="0"/>
        <w:adjustRightInd/>
        <w:snapToGrid w:val="0"/>
        <w:spacing w:line="288" w:lineRule="auto"/>
        <w:ind w:left="0" w:leftChars="0" w:right="0" w:rightChars="0" w:firstLine="0" w:firstLineChars="0"/>
        <w:jc w:val="both"/>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行业优势</w:t>
      </w:r>
    </w:p>
    <w:p>
      <w:pPr>
        <w:keepNext w:val="0"/>
        <w:keepLines w:val="0"/>
        <w:pageBreakBefore w:val="0"/>
        <w:widowControl w:val="0"/>
        <w:kinsoku/>
        <w:wordWrap/>
        <w:overflowPunct/>
        <w:topLinePunct w:val="0"/>
        <w:autoSpaceDE/>
        <w:autoSpaceDN/>
        <w:bidi w:val="0"/>
        <w:adjustRightInd/>
        <w:snapToGrid w:val="0"/>
        <w:spacing w:line="288" w:lineRule="auto"/>
        <w:ind w:left="0" w:leftChars="0" w:right="0" w:rightChars="0" w:firstLine="480" w:firstLineChars="200"/>
        <w:jc w:val="both"/>
        <w:textAlignment w:val="auto"/>
        <w:outlineLvl w:val="9"/>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改革开放三</w:t>
      </w:r>
      <w:bookmarkStart w:id="0" w:name="_GoBack"/>
      <w:bookmarkEnd w:id="0"/>
      <w:r>
        <w:rPr>
          <w:rFonts w:hint="eastAsia" w:ascii="宋体" w:hAnsi="宋体" w:eastAsia="宋体" w:cs="宋体"/>
          <w:b w:val="0"/>
          <w:bCs w:val="0"/>
          <w:sz w:val="24"/>
          <w:szCs w:val="24"/>
          <w:lang w:eastAsia="zh-CN"/>
        </w:rPr>
        <w:t>十年，国民经济取得辉煌成就的同时，也付出了环境的巨大代价，国家投入大量资金，制订严格制度，出台各项政策来改善环境。环保产业协会预测到2020年，我国环保产业规模达到万亿。海山机械进入该领域，看好其未来广阔的市场空间；国家提出工业2025战略发展目标；智能装备制造和节能环保是“十三五”规划国家重点扶持的八大产业之一；制造业是国家的支柱产业，技术兴国、工业强国是我国产业发展的永恒方向。</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产品优势</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海山机械的产品颠覆了行业的作业方式，是世界智能环保机械史上的一次革命，具有广泛发展空间；道路深度清理车，与传统道路清理比较，作业效果和效率提高90%，人工和费用降低90%；公司设备被邀请参与国庆期间北京天安门的清洁任务、天津8·12爆炸现场清理任务、福建闽清台风救灾任务、厦门金砖国家领导人峰会场地清洁任务等，收到用户一致好评，且多项任务在国内仅海山的设备能够达到作业要求。</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资质优势</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0" w:leftChars="0"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国内也是亚洲首个非破坏性挖掘技术研究院落户海山机械；海山机械入选福建省“创新100”企业，省重点培育企业；海山机械入选莆田市知识产权试点企业；与武汉大学成立智能装备联合研究中心。</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4、平台优势</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firstLine="1687" w:firstLineChars="800"/>
        <w:jc w:val="both"/>
        <w:textAlignment w:val="auto"/>
        <w:outlineLvl w:val="9"/>
        <w:rPr>
          <w:rFonts w:hint="eastAsia"/>
          <w:b/>
          <w:bCs/>
          <w:sz w:val="21"/>
          <w:szCs w:val="21"/>
          <w:lang w:val="en-US" w:eastAsia="zh-CN"/>
        </w:rPr>
      </w:pPr>
      <w:r>
        <w:rPr>
          <w:rFonts w:hint="eastAsia"/>
          <w:b/>
          <w:bCs/>
          <w:sz w:val="21"/>
          <w:szCs w:val="21"/>
          <w:lang w:val="en-US" w:eastAsia="zh-CN"/>
        </w:rPr>
        <w:t>完善的培训机制                             良好的晋升通道</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b w:val="0"/>
          <w:bCs w:val="0"/>
          <w:sz w:val="24"/>
          <w:szCs w:val="24"/>
          <w:lang w:val="en-US" w:eastAsia="zh-CN"/>
        </w:rPr>
      </w:pPr>
      <w:r>
        <w:rPr>
          <w:rFonts w:hint="eastAsia"/>
          <w:b w:val="0"/>
          <w:bCs w:val="0"/>
          <w:sz w:val="24"/>
          <w:szCs w:val="24"/>
          <w:lang w:val="en-US" w:eastAsia="zh-CN"/>
        </w:rPr>
        <w:t xml:space="preserve"> </w:t>
      </w:r>
      <w:r>
        <w:rPr>
          <w:rFonts w:hint="eastAsia"/>
          <w:b w:val="0"/>
          <w:bCs w:val="0"/>
          <w:sz w:val="24"/>
          <w:szCs w:val="24"/>
          <w:lang w:val="en-US" w:eastAsia="zh-CN"/>
        </w:rPr>
        <w:drawing>
          <wp:inline distT="0" distB="0" distL="114300" distR="114300">
            <wp:extent cx="2858135" cy="1167130"/>
            <wp:effectExtent l="0" t="0" r="18415" b="13970"/>
            <wp:docPr id="3" name="图片 3" descr="1508244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08244666(1)"/>
                    <pic:cNvPicPr>
                      <a:picLocks noChangeAspect="1"/>
                    </pic:cNvPicPr>
                  </pic:nvPicPr>
                  <pic:blipFill>
                    <a:blip r:embed="rId8"/>
                    <a:stretch>
                      <a:fillRect/>
                    </a:stretch>
                  </pic:blipFill>
                  <pic:spPr>
                    <a:xfrm>
                      <a:off x="0" y="0"/>
                      <a:ext cx="2858135" cy="1167130"/>
                    </a:xfrm>
                    <a:prstGeom prst="rect">
                      <a:avLst/>
                    </a:prstGeom>
                  </pic:spPr>
                </pic:pic>
              </a:graphicData>
            </a:graphic>
          </wp:inline>
        </w:drawing>
      </w:r>
      <w:r>
        <w:rPr>
          <w:rFonts w:hint="eastAsia"/>
          <w:b w:val="0"/>
          <w:bCs w:val="0"/>
          <w:sz w:val="24"/>
          <w:szCs w:val="24"/>
          <w:lang w:val="en-US" w:eastAsia="zh-CN"/>
        </w:rPr>
        <w:drawing>
          <wp:inline distT="0" distB="0" distL="114300" distR="114300">
            <wp:extent cx="2929890" cy="1230630"/>
            <wp:effectExtent l="0" t="0" r="3810" b="7620"/>
            <wp:docPr id="1" name="图片 1" descr="150824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08244190(1)"/>
                    <pic:cNvPicPr>
                      <a:picLocks noChangeAspect="1"/>
                    </pic:cNvPicPr>
                  </pic:nvPicPr>
                  <pic:blipFill>
                    <a:blip r:embed="rId9"/>
                    <a:stretch>
                      <a:fillRect/>
                    </a:stretch>
                  </pic:blipFill>
                  <pic:spPr>
                    <a:xfrm>
                      <a:off x="0" y="0"/>
                      <a:ext cx="2929890" cy="12306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right="0" w:rightChars="0"/>
        <w:jc w:val="left"/>
        <w:textAlignment w:val="auto"/>
        <w:outlineLvl w:val="9"/>
        <w:rPr>
          <w:rFonts w:hint="eastAsia"/>
          <w:b/>
          <w:bCs/>
          <w:sz w:val="24"/>
          <w:szCs w:val="24"/>
          <w:lang w:val="en-US" w:eastAsia="zh-CN"/>
        </w:rPr>
      </w:pPr>
      <w:r>
        <w:rPr>
          <w:rFonts w:hint="eastAsia"/>
          <w:b/>
          <w:bCs/>
          <w:sz w:val="24"/>
          <w:szCs w:val="24"/>
          <w:lang w:val="en-US" w:eastAsia="zh-CN"/>
        </w:rPr>
        <w:t>5、环境优势</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firstLine="1476" w:firstLineChars="700"/>
        <w:jc w:val="left"/>
        <w:textAlignment w:val="auto"/>
        <w:outlineLvl w:val="9"/>
        <w:rPr>
          <w:rFonts w:hint="eastAsia"/>
          <w:b/>
          <w:bCs/>
          <w:sz w:val="21"/>
          <w:szCs w:val="21"/>
          <w:lang w:val="en-US" w:eastAsia="zh-CN"/>
        </w:rPr>
      </w:pPr>
      <w:r>
        <w:rPr>
          <w:rFonts w:hint="eastAsia"/>
          <w:b/>
          <w:bCs/>
          <w:sz w:val="21"/>
          <w:szCs w:val="21"/>
          <w:lang w:val="en-US" w:eastAsia="zh-CN"/>
        </w:rPr>
        <w:t>丰富的业余生活                              完善的配套设施</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2809240" cy="1203325"/>
            <wp:effectExtent l="0" t="0" r="10160" b="15875"/>
            <wp:docPr id="2" name="图片 2" descr="1508244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08244540(1)"/>
                    <pic:cNvPicPr>
                      <a:picLocks noChangeAspect="1"/>
                    </pic:cNvPicPr>
                  </pic:nvPicPr>
                  <pic:blipFill>
                    <a:blip r:embed="rId10"/>
                    <a:stretch>
                      <a:fillRect/>
                    </a:stretch>
                  </pic:blipFill>
                  <pic:spPr>
                    <a:xfrm>
                      <a:off x="0" y="0"/>
                      <a:ext cx="2809240" cy="1203325"/>
                    </a:xfrm>
                    <a:prstGeom prst="rect">
                      <a:avLst/>
                    </a:prstGeom>
                  </pic:spPr>
                </pic:pic>
              </a:graphicData>
            </a:graphic>
          </wp:inline>
        </w:drawing>
      </w:r>
      <w:r>
        <w:rPr>
          <w:rFonts w:hint="eastAsia"/>
          <w:b w:val="0"/>
          <w:bCs w:val="0"/>
          <w:sz w:val="24"/>
          <w:szCs w:val="24"/>
          <w:lang w:val="en-US" w:eastAsia="zh-CN"/>
        </w:rPr>
        <w:t xml:space="preserve"> </w:t>
      </w:r>
      <w:r>
        <w:rPr>
          <w:rFonts w:hint="eastAsia"/>
          <w:b w:val="0"/>
          <w:bCs w:val="0"/>
          <w:sz w:val="24"/>
          <w:szCs w:val="24"/>
          <w:lang w:val="en-US" w:eastAsia="zh-CN"/>
        </w:rPr>
        <w:drawing>
          <wp:inline distT="0" distB="0" distL="114300" distR="114300">
            <wp:extent cx="2863850" cy="1131570"/>
            <wp:effectExtent l="0" t="0" r="12700" b="11430"/>
            <wp:docPr id="4" name="图片 4" descr="1508244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08244734(1)"/>
                    <pic:cNvPicPr>
                      <a:picLocks noChangeAspect="1"/>
                    </pic:cNvPicPr>
                  </pic:nvPicPr>
                  <pic:blipFill>
                    <a:blip r:embed="rId11"/>
                    <a:stretch>
                      <a:fillRect/>
                    </a:stretch>
                  </pic:blipFill>
                  <pic:spPr>
                    <a:xfrm>
                      <a:off x="0" y="0"/>
                      <a:ext cx="2863850" cy="11315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right="0" w:rightChars="0"/>
        <w:textAlignment w:val="auto"/>
        <w:outlineLvl w:val="9"/>
        <w:rPr>
          <w:rFonts w:hint="eastAsia"/>
          <w:b/>
          <w:bCs/>
          <w:sz w:val="24"/>
          <w:szCs w:val="24"/>
          <w:lang w:val="en-US" w:eastAsia="zh-CN"/>
        </w:rPr>
      </w:pPr>
      <w:r>
        <w:rPr>
          <w:rFonts w:hint="eastAsia"/>
          <w:b/>
          <w:bCs/>
          <w:sz w:val="24"/>
          <w:szCs w:val="24"/>
          <w:lang w:val="en-US" w:eastAsia="zh-CN"/>
        </w:rPr>
        <w:t>6、福利优势</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firstLine="480" w:firstLineChars="200"/>
        <w:textAlignment w:val="auto"/>
        <w:outlineLvl w:val="9"/>
        <w:rPr>
          <w:rFonts w:hint="eastAsia"/>
          <w:b w:val="0"/>
          <w:bCs w:val="0"/>
          <w:sz w:val="24"/>
          <w:szCs w:val="24"/>
          <w:lang w:val="en-US" w:eastAsia="zh-CN"/>
        </w:rPr>
      </w:pPr>
      <w:r>
        <w:rPr>
          <w:rFonts w:hint="eastAsia"/>
          <w:b w:val="0"/>
          <w:bCs w:val="0"/>
          <w:sz w:val="24"/>
          <w:szCs w:val="24"/>
          <w:lang w:val="en-US" w:eastAsia="zh-CN"/>
        </w:rPr>
        <w:t>年终奖励；工龄奖；项目奖金；年度调薪（每年1次）；各类假期（按照国家规定执行）；五险一金；免费住宿；职务津贴、岗位津贴、职称津贴、全勤奖、绩效奖、庆生会及生日礼品、三节礼物等等。</w:t>
      </w:r>
    </w:p>
    <w:p>
      <w:pPr>
        <w:keepNext w:val="0"/>
        <w:keepLines w:val="0"/>
        <w:pageBreakBefore w:val="0"/>
        <w:widowControl w:val="0"/>
        <w:numPr>
          <w:ilvl w:val="0"/>
          <w:numId w:val="2"/>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薪酬待遇</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1、大专应届生起薪2500元/月，三个月考核定级，如技能基本达到顶岗操作保底不低于3000元/月。月综合薪资约4500-6000元；</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2、本科应届生起薪3500元/月，六个月试用期，试用合格则提升至4000元/月。月综合薪资约5500-7000；</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3、硕士应届生起薪4500元/月，六个月试用期，试用合格则提升至5500元/月。月综合薪资约7000-10000。</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五、招聘需求</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left="0" w:leftChars="0" w:right="0" w:rightChars="0"/>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6005830" cy="1637665"/>
            <wp:effectExtent l="0" t="0" r="13970" b="635"/>
            <wp:docPr id="6" name="图片 6" descr="150824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08247005(1)"/>
                    <pic:cNvPicPr>
                      <a:picLocks noChangeAspect="1"/>
                    </pic:cNvPicPr>
                  </pic:nvPicPr>
                  <pic:blipFill>
                    <a:blip r:embed="rId12"/>
                    <a:stretch>
                      <a:fillRect/>
                    </a:stretch>
                  </pic:blipFill>
                  <pic:spPr>
                    <a:xfrm>
                      <a:off x="0" y="0"/>
                      <a:ext cx="6005830" cy="16376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right="0" w:rightChars="0"/>
        <w:textAlignment w:val="auto"/>
        <w:outlineLvl w:val="9"/>
        <w:rPr>
          <w:rFonts w:hint="eastAsia"/>
          <w:b/>
          <w:bCs/>
          <w:sz w:val="24"/>
          <w:szCs w:val="24"/>
          <w:lang w:val="en-US" w:eastAsia="zh-CN"/>
        </w:rPr>
      </w:pPr>
      <w:r>
        <w:rPr>
          <w:rFonts w:hint="eastAsia"/>
          <w:b/>
          <w:bCs/>
          <w:sz w:val="24"/>
          <w:szCs w:val="24"/>
          <w:lang w:val="en-US" w:eastAsia="zh-CN"/>
        </w:rPr>
        <w:t>六、投递方式</w:t>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right="0" w:rightChars="0"/>
        <w:textAlignment w:val="auto"/>
        <w:outlineLvl w:val="9"/>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6002655" cy="1435100"/>
            <wp:effectExtent l="0" t="0" r="17145" b="12700"/>
            <wp:docPr id="7" name="图片 7" descr="1508247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08247525(1)"/>
                    <pic:cNvPicPr>
                      <a:picLocks noChangeAspect="1"/>
                    </pic:cNvPicPr>
                  </pic:nvPicPr>
                  <pic:blipFill>
                    <a:blip r:embed="rId13"/>
                    <a:stretch>
                      <a:fillRect/>
                    </a:stretch>
                  </pic:blipFill>
                  <pic:spPr>
                    <a:xfrm>
                      <a:off x="0" y="0"/>
                      <a:ext cx="6002655" cy="14351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24" w:lineRule="atLeast"/>
        <w:ind w:right="0" w:rightChars="0"/>
        <w:textAlignment w:val="auto"/>
        <w:outlineLvl w:val="9"/>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6005830" cy="1488440"/>
            <wp:effectExtent l="0" t="0" r="13970" b="16510"/>
            <wp:docPr id="9" name="图片 9" descr="1508247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08247651(1)"/>
                    <pic:cNvPicPr>
                      <a:picLocks noChangeAspect="1"/>
                    </pic:cNvPicPr>
                  </pic:nvPicPr>
                  <pic:blipFill>
                    <a:blip r:embed="rId14"/>
                    <a:stretch>
                      <a:fillRect/>
                    </a:stretch>
                  </pic:blipFill>
                  <pic:spPr>
                    <a:xfrm>
                      <a:off x="0" y="0"/>
                      <a:ext cx="6005830" cy="1488440"/>
                    </a:xfrm>
                    <a:prstGeom prst="rect">
                      <a:avLst/>
                    </a:prstGeom>
                  </pic:spPr>
                </pic:pic>
              </a:graphicData>
            </a:graphic>
          </wp:inline>
        </w:drawing>
      </w:r>
    </w:p>
    <w:sectPr>
      <w:pgSz w:w="11906" w:h="16838"/>
      <w:pgMar w:top="820" w:right="1266" w:bottom="1440"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字体管家初恋体">
    <w:altName w:val="Times New Roman"/>
    <w:panose1 w:val="02000500000000000000"/>
    <w:charset w:val="80"/>
    <w:family w:val="auto"/>
    <w:pitch w:val="default"/>
    <w:sig w:usb0="00000000" w:usb1="00000000" w:usb2="001FFDFF" w:usb3="00000000" w:csb0="6003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5F97E"/>
    <w:multiLevelType w:val="singleLevel"/>
    <w:tmpl w:val="59E5F97E"/>
    <w:lvl w:ilvl="0" w:tentative="0">
      <w:start w:val="2"/>
      <w:numFmt w:val="decimal"/>
      <w:suff w:val="nothing"/>
      <w:lvlText w:val="%1、"/>
      <w:lvlJc w:val="left"/>
    </w:lvl>
  </w:abstractNum>
  <w:abstractNum w:abstractNumId="1">
    <w:nsid w:val="59E60057"/>
    <w:multiLevelType w:val="singleLevel"/>
    <w:tmpl w:val="59E60057"/>
    <w:lvl w:ilvl="0" w:tentative="0">
      <w:start w:val="4"/>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A17841"/>
    <w:rsid w:val="0CAA2EE7"/>
    <w:rsid w:val="2B5577BA"/>
    <w:rsid w:val="2FC76BAA"/>
    <w:rsid w:val="3DA51D6B"/>
    <w:rsid w:val="40A17841"/>
    <w:rsid w:val="5B4860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microsoft.com/office/2007/relationships/hdphoto" Target="media/hdphoto1.wdp"/><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2017-10-17T12:25:00Z</dcterms:created>
  <dc:creator>Administrator</dc:creator>
  <cp:lastModifiedBy>Administrator</cp:lastModifiedBy>
  <dcterms:modified xsi:type="dcterms:W3CDTF">2017-10-17T14:02:01Z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